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A484B" w14:textId="77777777" w:rsidR="001C507B" w:rsidRPr="002016D3" w:rsidRDefault="001C507B" w:rsidP="00DC74D7">
      <w:pPr>
        <w:widowControl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PT</w:t>
      </w:r>
      <w:r>
        <w:rPr>
          <w:rFonts w:ascii="Times New Roman" w:hAnsi="Times New Roman"/>
          <w:sz w:val="24"/>
        </w:rPr>
        <w:br/>
        <w:t>E-000094/2024</w:t>
      </w:r>
      <w:r>
        <w:rPr>
          <w:rFonts w:ascii="Times New Roman" w:hAnsi="Times New Roman"/>
          <w:sz w:val="24"/>
        </w:rPr>
        <w:br/>
        <w:t>Resposta dada por Johannes Hahn</w:t>
      </w:r>
      <w:r>
        <w:rPr>
          <w:rFonts w:ascii="Times New Roman" w:hAnsi="Times New Roman"/>
          <w:sz w:val="24"/>
        </w:rPr>
        <w:br/>
        <w:t>em nome da Comissão Europeia</w:t>
      </w:r>
      <w:r>
        <w:rPr>
          <w:rFonts w:ascii="Times New Roman" w:hAnsi="Times New Roman"/>
          <w:sz w:val="24"/>
        </w:rPr>
        <w:cr/>
        <w:t>(5.4.2024)</w:t>
      </w:r>
      <w:r>
        <w:rPr>
          <w:rFonts w:ascii="Times New Roman" w:hAnsi="Times New Roman"/>
          <w:sz w:val="24"/>
        </w:rPr>
        <w:cr/>
      </w:r>
    </w:p>
    <w:p w14:paraId="3E741E7E" w14:textId="77777777" w:rsidR="00627AFB" w:rsidRPr="002016D3" w:rsidRDefault="00627AF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413566" w14:textId="46C05CA2" w:rsidR="00561DE5" w:rsidRPr="002016D3" w:rsidRDefault="001C507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 Os 353,9 milhões de euros mencionados dizem respeito ao pré-financiamento recebido por Portugal para o período de programação de 2021-2027 em relação aos Fundos Europeus Estruturais e de Investimento (FEEI)</w:t>
      </w:r>
      <w:r w:rsidR="002016D3" w:rsidRPr="005839C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</w:rPr>
        <w:t>, na sequência da adoção do Acordo de Parceria em julho de 2022 e dos respetivos programas operacionais em dezembro desse mesmo ano. Este pré-financiamento não está ligado à execução propriamente dita e será deduzido de futuros pedidos de pagamento. Os FEEI 2021-2027 podem ser executados até 2027, sendo que a regra n+2 se aplica ao último ano do período de programação.</w:t>
      </w:r>
    </w:p>
    <w:p w14:paraId="29524F2C" w14:textId="77777777" w:rsidR="00561DE5" w:rsidRPr="002016D3" w:rsidRDefault="00561DE5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7C298ED" w14:textId="52046C62" w:rsidR="00627AFB" w:rsidRPr="002016D3" w:rsidRDefault="00A37B2D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 Comissão acompanha de perto com todos os Estados-Membros a execução dos FEEI. Os Estados-Membros podem beneficiar de assistência e apoio técnico na execução dos seus programas financiados pela UE.</w:t>
      </w:r>
    </w:p>
    <w:p w14:paraId="4F7164B5" w14:textId="77777777" w:rsidR="001C507B" w:rsidRPr="002016D3" w:rsidRDefault="001C507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315ED3" w14:textId="77777777" w:rsidR="001C507B" w:rsidRPr="002016D3" w:rsidRDefault="001C507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 O Regulamento n.º 609/2014 do Conselho</w:t>
      </w:r>
      <w:r w:rsidRPr="002016D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</w:rPr>
        <w:t xml:space="preserve"> estabelece o quadro para a colocação à disposição dos recursos próprios, incluindo juros de mora quando for o caso. Quaisquer juros devidos decorrem diretamente das disposições desse regulamento. O montante total de juros que Portugal pagou desde 1994 por motivo de atrasos na disponibilização dos recursos próprios tradicionais (direitos aduaneiros) é inferior a 45 milhões de euros. O número total de casos de atraso na disponibilização de recursos próprios tradicionais por Portugal é igualmente reduzido.</w:t>
      </w:r>
    </w:p>
    <w:p w14:paraId="1D0FB426" w14:textId="77777777" w:rsidR="00627AFB" w:rsidRPr="002016D3" w:rsidRDefault="00627AF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7ED411" w14:textId="77777777" w:rsidR="001C507B" w:rsidRPr="002016D3" w:rsidRDefault="001C507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Uma vez que Portugal cobra anualmente mais de 300 milhões de euros de recursos próprios tradicionais (RPT) para o orçamento da UE, a Comissão considera que o montante dos juros pagos por Portugal em relação aos RPT não é particularmente elevado nem frequente.</w:t>
      </w:r>
    </w:p>
    <w:p w14:paraId="629A8E34" w14:textId="77777777" w:rsidR="00627AFB" w:rsidRPr="002016D3" w:rsidRDefault="00627AFB" w:rsidP="005839C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4E4ECF" w14:textId="77777777" w:rsidR="001C507B" w:rsidRPr="005839CF" w:rsidRDefault="001C507B" w:rsidP="005839CF">
      <w:pPr>
        <w:widowControl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Os dados da execução dos fundos da UE, discriminados por programa de financiamento e por Estado-Membro, estão disponíveis ao público na Plataforma de Dados Abertos</w:t>
      </w:r>
      <w:r w:rsidRPr="002016D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</w:rPr>
        <w:t>.</w:t>
      </w:r>
    </w:p>
    <w:p w14:paraId="7D3246F1" w14:textId="77777777" w:rsidR="001C507B" w:rsidRPr="005839CF" w:rsidRDefault="001C507B" w:rsidP="005839CF">
      <w:pPr>
        <w:pStyle w:val="Body"/>
        <w:spacing w:after="0"/>
        <w:jc w:val="both"/>
        <w:rPr>
          <w:rFonts w:ascii="Times New Roman" w:hAnsi="Times New Roman"/>
          <w:sz w:val="24"/>
        </w:rPr>
      </w:pPr>
    </w:p>
    <w:sectPr w:rsidR="001C507B" w:rsidRPr="005839CF"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8812C" w14:textId="77777777" w:rsidR="00633112" w:rsidRDefault="00633112">
      <w:pPr>
        <w:spacing w:after="0"/>
      </w:pPr>
      <w:r>
        <w:separator/>
      </w:r>
    </w:p>
  </w:endnote>
  <w:endnote w:type="continuationSeparator" w:id="0">
    <w:p w14:paraId="482DB06D" w14:textId="77777777" w:rsidR="00633112" w:rsidRDefault="00633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E4DBF" w14:textId="77777777" w:rsidR="00633112" w:rsidRDefault="00633112">
      <w:pPr>
        <w:spacing w:after="0"/>
      </w:pPr>
      <w:r>
        <w:separator/>
      </w:r>
    </w:p>
  </w:footnote>
  <w:footnote w:type="continuationSeparator" w:id="0">
    <w:p w14:paraId="74759BED" w14:textId="77777777" w:rsidR="00633112" w:rsidRDefault="00633112">
      <w:pPr>
        <w:spacing w:after="0"/>
      </w:pPr>
      <w:r>
        <w:continuationSeparator/>
      </w:r>
    </w:p>
  </w:footnote>
  <w:footnote w:id="1">
    <w:p w14:paraId="5CAE9442" w14:textId="622EB7FD" w:rsidR="002016D3" w:rsidRPr="005839CF" w:rsidRDefault="002016D3" w:rsidP="005839CF">
      <w:pPr>
        <w:pStyle w:val="FootnoteText"/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hyperlink r:id="rId1" w:history="1">
        <w:r>
          <w:rPr>
            <w:rStyle w:val="Hyperlink"/>
            <w:rFonts w:ascii="Times New Roman" w:hAnsi="Times New Roman"/>
            <w:sz w:val="20"/>
          </w:rPr>
          <w:t>https://commission.europa.eu/funding-tenders/find-funding/funding-management-mode/2014-2020-european-structural-and-investment-funds_pt</w:t>
        </w:r>
      </w:hyperlink>
      <w:r>
        <w:rPr>
          <w:rFonts w:ascii="Times New Roman" w:hAnsi="Times New Roman"/>
          <w:sz w:val="20"/>
        </w:rPr>
        <w:t xml:space="preserve"> </w:t>
      </w:r>
    </w:p>
  </w:footnote>
  <w:footnote w:id="2">
    <w:p w14:paraId="1E17889D" w14:textId="77777777" w:rsidR="001C507B" w:rsidRPr="002016D3" w:rsidRDefault="001C507B" w:rsidP="005839CF">
      <w:pPr>
        <w:pStyle w:val="FootnoteText"/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hyperlink r:id="rId2" w:history="1">
        <w:r>
          <w:rPr>
            <w:rStyle w:val="Hyperlink"/>
            <w:rFonts w:ascii="Times New Roman" w:hAnsi="Times New Roman"/>
            <w:sz w:val="20"/>
          </w:rPr>
          <w:t>https://eur-lex.europa.eu/legal-content/PT/TXT/PDF/?uri=CELEX:32014R0609</w:t>
        </w:r>
      </w:hyperlink>
    </w:p>
  </w:footnote>
  <w:footnote w:id="3">
    <w:p w14:paraId="07E0C368" w14:textId="77777777" w:rsidR="001C507B" w:rsidRPr="005839CF" w:rsidRDefault="001C507B" w:rsidP="005839CF">
      <w:pPr>
        <w:pStyle w:val="FootnoteText"/>
        <w:tabs>
          <w:tab w:val="clear" w:pos="284"/>
          <w:tab w:val="left" w:pos="0"/>
        </w:tabs>
        <w:ind w:left="0" w:firstLine="0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 w:cs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</w:t>
      </w:r>
      <w:hyperlink r:id="rId3" w:history="1">
        <w:r>
          <w:rPr>
            <w:rStyle w:val="Hyperlink"/>
            <w:rFonts w:ascii="Times New Roman" w:hAnsi="Times New Roman"/>
            <w:sz w:val="20"/>
          </w:rPr>
          <w:t>https://cohesiondata.ec.europa.eu/stories/s/EU-budget-execution-overview/2jjj-66bt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7B3E"/>
    <w:rsid w:val="001416F8"/>
    <w:rsid w:val="001900E2"/>
    <w:rsid w:val="001C507B"/>
    <w:rsid w:val="002016D3"/>
    <w:rsid w:val="002034E5"/>
    <w:rsid w:val="00333D1F"/>
    <w:rsid w:val="00345ABF"/>
    <w:rsid w:val="003D781C"/>
    <w:rsid w:val="0041239F"/>
    <w:rsid w:val="004A1A4E"/>
    <w:rsid w:val="004B558B"/>
    <w:rsid w:val="005120A0"/>
    <w:rsid w:val="00561DE5"/>
    <w:rsid w:val="005839CF"/>
    <w:rsid w:val="00587D9E"/>
    <w:rsid w:val="00627AFB"/>
    <w:rsid w:val="00633112"/>
    <w:rsid w:val="00684144"/>
    <w:rsid w:val="006C4B79"/>
    <w:rsid w:val="007072C1"/>
    <w:rsid w:val="00775BC1"/>
    <w:rsid w:val="008D2C3F"/>
    <w:rsid w:val="008E5D8C"/>
    <w:rsid w:val="00905102"/>
    <w:rsid w:val="00946E29"/>
    <w:rsid w:val="0098295F"/>
    <w:rsid w:val="00A37B2D"/>
    <w:rsid w:val="00A77B3E"/>
    <w:rsid w:val="00CA2A55"/>
    <w:rsid w:val="00D30191"/>
    <w:rsid w:val="00D762D0"/>
    <w:rsid w:val="00DC74D7"/>
    <w:rsid w:val="00E54559"/>
    <w:rsid w:val="00E91630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D4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link w:val="FootnoteTextChar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F5496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1C507B"/>
    <w:rPr>
      <w:rFonts w:ascii="Arial" w:hAnsi="Arial"/>
      <w:sz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E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1630"/>
    <w:rPr>
      <w:rFonts w:ascii="Arial" w:hAnsi="Arial"/>
    </w:rPr>
  </w:style>
  <w:style w:type="character" w:styleId="CommentReference">
    <w:name w:val="annotation reference"/>
    <w:basedOn w:val="DefaultParagraphFont"/>
    <w:rsid w:val="008D2C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C3F"/>
  </w:style>
  <w:style w:type="character" w:customStyle="1" w:styleId="CommentTextChar">
    <w:name w:val="Comment Text Char"/>
    <w:basedOn w:val="DefaultParagraphFont"/>
    <w:link w:val="CommentText"/>
    <w:rsid w:val="008D2C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D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C3F"/>
    <w:rPr>
      <w:rFonts w:ascii="Arial" w:hAnsi="Arial"/>
      <w:b/>
      <w:bCs/>
    </w:rPr>
  </w:style>
  <w:style w:type="character" w:styleId="FollowedHyperlink">
    <w:name w:val="FollowedHyperlink"/>
    <w:basedOn w:val="DefaultParagraphFont"/>
    <w:rsid w:val="00D301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ohesiondata.ec.europa.eu/stories/s/EU-budget-execution-overview/2jjj-66bt" TargetMode="External"/><Relationship Id="rId2" Type="http://schemas.openxmlformats.org/officeDocument/2006/relationships/hyperlink" Target="https://eur-lex.europa.eu/legal-content/PT/TXT/PDF/?uri=CELEX:32014R0609" TargetMode="External"/><Relationship Id="rId1" Type="http://schemas.openxmlformats.org/officeDocument/2006/relationships/hyperlink" Target="https://commission.europa.eu/funding-tenders/find-funding/funding-management-mode/2014-2020-european-structural-and-investment-funds_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15CA-FF61-4BC0-BAFD-EB0D8E92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2024-04-08T09:45:00Z</dcterms:created>
  <dcterms:modified xsi:type="dcterms:W3CDTF">2024-04-08T09:45:00Z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2024-03-27T09:25:05Z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cb02a6b0-a9b9-47d0-8634-3a6897e0b932</vt:lpwstr>
  </property>
  <property fmtid="{D5CDD505-2E9C-101B-9397-08002B2CF9AE}" pid="8" name="MSIP_Label_6bd9ddd1-4d20-43f6-abfa-fc3c07406f94_ContentBits">
    <vt:lpwstr>0</vt:lpwstr>
  </property>
</Properties>
</file>